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E6E6E6"/>
          <w:sz w:val="20"/>
          <w:szCs w:val="20"/>
        </w:rPr>
      </w:pP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E6E6E6"/>
          <w:sz w:val="20"/>
          <w:szCs w:val="20"/>
        </w:rPr>
      </w:pP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E6E6E6"/>
          <w:sz w:val="20"/>
          <w:szCs w:val="20"/>
        </w:rPr>
      </w:pP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</w:p>
    <w:p w:rsidR="00C92388" w:rsidRPr="00BD096F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Bold" w:hAnsi="AGaramondPro-Bold" w:cs="AGaramondPro-Bold"/>
          <w:color w:val="2615FF"/>
          <w:sz w:val="36"/>
          <w:szCs w:val="36"/>
        </w:rPr>
      </w:pPr>
      <w:r w:rsidRPr="00BD096F">
        <w:rPr>
          <w:rFonts w:ascii="AGaramondPro-Bold" w:hAnsi="AGaramondPro-Bold" w:cs="AGaramondPro-Bold"/>
          <w:color w:val="2615FF"/>
          <w:sz w:val="36"/>
          <w:szCs w:val="36"/>
        </w:rPr>
        <w:t>Increasing Knowledge and Skills in this Digital, Global Era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  <w:r>
        <w:rPr>
          <w:rFonts w:ascii="AGaramondPro-Regular" w:hAnsi="AGaramondPro-Regular" w:cs="AGaramondPro-Regular"/>
          <w:color w:val="2615FF"/>
          <w:sz w:val="32"/>
          <w:szCs w:val="32"/>
        </w:rPr>
        <w:t>with Nick Sauers, Leadership Training coordinator., CASTLE, University of Kentucky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0"/>
          <w:szCs w:val="20"/>
        </w:rPr>
      </w:pP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rialMT" w:hAnsi="ArialMT" w:cs="ArialMT"/>
          <w:color w:val="2615FF"/>
          <w:sz w:val="97"/>
          <w:szCs w:val="97"/>
        </w:rPr>
        <w:t>I</w:t>
      </w:r>
      <w:r>
        <w:rPr>
          <w:rFonts w:ascii="AGaramondPro-Regular" w:hAnsi="AGaramondPro-Regular" w:cs="AGaramondPro-Regular"/>
          <w:color w:val="000000"/>
          <w:sz w:val="22"/>
          <w:szCs w:val="22"/>
        </w:rPr>
        <w:t>am often asked by people who are unfamiliar with one-to-one to describe what it is. However, unlike many other initiatives,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one-to-one is not a canned program. One of the most challenging things when talking to those not currently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involved with one-to-one is communicating how differently it can look at various schools. In actuality, one-to-one simply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implies a student-to-computer ratio and not other changes that may occur in a school. When touring one-to-one schools,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these differences also become very apparent. Penuel (2006) described four outcomes that most one-to-one schools identify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when implementing one-to-one. Those outcomes include: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improving academic achievement;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increasing equity of access;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increasing economic competitiveness of a region; and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transforming the quality of instruction.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 would add that under each of these points, there are still many more outcomes schools have sought. For some schools,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improving academic achievement has been a focus in one content area while others have focused on different content areas.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For still other schools, increasing academic achievement has meant the adoption or implementation of another strategy to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increase academic performance in partnership with one-to-one.</w:t>
      </w:r>
    </w:p>
    <w:p w:rsidR="00C92388" w:rsidRPr="00BD096F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b/>
          <w:bCs/>
          <w:color w:val="2615FF"/>
          <w:sz w:val="30"/>
          <w:szCs w:val="30"/>
        </w:rPr>
      </w:pPr>
      <w:r w:rsidRPr="00BD096F">
        <w:rPr>
          <w:rFonts w:ascii="ArialMT" w:hAnsi="ArialMT" w:cs="ArialMT"/>
          <w:b/>
          <w:bCs/>
          <w:color w:val="2615FF"/>
          <w:sz w:val="30"/>
          <w:szCs w:val="30"/>
        </w:rPr>
        <w:t>So what does this mean?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Well, for starters, it means there isn’t a cookie cutter plan to lay out for educators considering the move to one-to-one. More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importantly, it hopefully means that schools need to start or at least tie their conversations to something other than one-toone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status. Schools need to first identify exactly what they want to focus on, and what they want to do exceptionally well.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Once they have done that, I would contend that one-to-one will certainly help them do a better job reaching their goals.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Businesses have certainly recognized that fact and used technology to increase productivity, accountability, creativity and pursue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important endeavors. I repeatedly tell educators that the things students can do with one-to-one technology are often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unimaginable or not easily done without the technology. With that in mind, schools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must continually come back to their goals. They can then ask whether one-to-one will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or has helped them meet their goals. They may ask themselves one or more of the following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questions depending on the goals they established.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Is one-to-one increasing the amount and quality of what students are writing?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Is one-to-one leveling the playing field between the haves and have-nots?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Is one-to-one increasing the amount of project-based learning in classrooms?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Is one-to-one helping to bolster the graduation rate?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Is one-to-one helping to transform instruction in the school?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• Is one-to-one better preparing students with 21st century skills?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Whether you are at a current one-to-one school or are considering the move, the process described above should be essential.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In order to use one-to-one to move our schools forward, we first need to clearly identify the direction we need and want to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move! Once those goals have been established, schools can begin to align their instructional goals with the tools that will help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them better meet those goals. One of the most powerful tools to help schools reach a wide variety of those outcomes may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>indeed be one-to-one.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</w:pPr>
      <w:r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  <w:t>Nick Sauers is currently the Leadership Training Coordinator for the Center for the Advanced Study of Technology Leadership in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</w:pPr>
      <w:r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  <w:t>Education (CASTLE) at the University of Kentucky. He blogs at 1to1schools.net and can be reached at nck0208@gmail.com.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</w:pPr>
      <w:r>
        <w:rPr>
          <w:rFonts w:ascii="AGaramondPro-Regular" w:hAnsi="AGaramondPro-Regular" w:cs="AGaramondPro-Regular"/>
          <w:color w:val="000000"/>
          <w:sz w:val="22"/>
          <w:szCs w:val="22"/>
        </w:rPr>
        <w:t xml:space="preserve">Penuel, W. R. (2006). Implementation and effects of one-to-one computing initiatives: A research synthesis. </w:t>
      </w:r>
      <w:r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  <w:t>Journal of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  <w:sz w:val="22"/>
          <w:szCs w:val="22"/>
        </w:rPr>
      </w:pPr>
      <w:r>
        <w:rPr>
          <w:rFonts w:ascii="AGaramondPro-Italic" w:hAnsi="AGaramondPro-Italic" w:cs="AGaramondPro-Italic"/>
          <w:i/>
          <w:iCs/>
          <w:color w:val="000000"/>
          <w:sz w:val="22"/>
          <w:szCs w:val="22"/>
        </w:rPr>
        <w:t>Research on Technology in Education</w:t>
      </w:r>
      <w:r>
        <w:rPr>
          <w:rFonts w:ascii="AGaramondPro-Regular" w:hAnsi="AGaramondPro-Regular" w:cs="AGaramondPro-Regular"/>
          <w:color w:val="000000"/>
          <w:sz w:val="22"/>
          <w:szCs w:val="22"/>
        </w:rPr>
        <w:t>, 38(3), 320-348.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E6E6E6"/>
          <w:sz w:val="20"/>
          <w:szCs w:val="20"/>
        </w:rPr>
      </w:pP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</w:p>
    <w:p w:rsidR="00C92388" w:rsidRDefault="00C92388" w:rsidP="00BD096F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E6E6E6"/>
          <w:sz w:val="20"/>
          <w:szCs w:val="20"/>
        </w:rPr>
      </w:pP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</w:p>
    <w:p w:rsidR="00C92388" w:rsidRDefault="00C92388" w:rsidP="00BD096F"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  <w:r>
        <w:rPr>
          <w:rFonts w:ascii="Wingdings" w:hAnsi="Wingdings" w:cs="Wingdings"/>
          <w:color w:val="E6E6E6"/>
          <w:sz w:val="20"/>
          <w:szCs w:val="20"/>
        </w:rPr>
        <w:t></w:t>
      </w:r>
      <w:r>
        <w:rPr>
          <w:rFonts w:ascii="Wingdings" w:hAnsi="Wingdings" w:cs="Wingdings"/>
          <w:color w:val="E6E6E6"/>
          <w:sz w:val="20"/>
          <w:szCs w:val="20"/>
        </w:rPr>
        <w:t></w:t>
      </w:r>
    </w:p>
    <w:sectPr w:rsidR="00C92388" w:rsidSect="00FC7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aramond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Pr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096F"/>
    <w:rsid w:val="000E10A2"/>
    <w:rsid w:val="00494596"/>
    <w:rsid w:val="00BB4192"/>
    <w:rsid w:val="00BD096F"/>
    <w:rsid w:val="00C41F61"/>
    <w:rsid w:val="00C92388"/>
    <w:rsid w:val="00FC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815"/>
    <w:pPr>
      <w:spacing w:after="200" w:line="276" w:lineRule="auto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642</Words>
  <Characters>3664</Characters>
  <Application>Microsoft Office Outlook</Application>
  <DocSecurity>0</DocSecurity>
  <Lines>0</Lines>
  <Paragraphs>0</Paragraphs>
  <ScaleCrop>false</ScaleCrop>
  <Company>Tri-Center 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</dc:title>
  <dc:subject/>
  <dc:creator>Brett Nanninga</dc:creator>
  <cp:keywords/>
  <dc:description/>
  <cp:lastModifiedBy>eweed</cp:lastModifiedBy>
  <cp:revision>2</cp:revision>
  <dcterms:created xsi:type="dcterms:W3CDTF">2011-11-15T17:54:00Z</dcterms:created>
  <dcterms:modified xsi:type="dcterms:W3CDTF">2011-11-15T17:54:00Z</dcterms:modified>
</cp:coreProperties>
</file>